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E6F0" w14:textId="4A803FA7" w:rsidR="00C9267F" w:rsidRPr="00C9267F" w:rsidRDefault="00C9267F" w:rsidP="00C9267F">
      <w:pPr>
        <w:spacing w:after="0" w:line="480" w:lineRule="auto"/>
        <w:jc w:val="center"/>
        <w:rPr>
          <w:rFonts w:ascii="Times New Roman" w:eastAsia="Times New Roman" w:hAnsi="Times New Roman" w:cs="Times New Roman"/>
          <w:kern w:val="0"/>
          <w14:ligatures w14:val="none"/>
        </w:rPr>
      </w:pPr>
      <w:r w:rsidRPr="00C9267F">
        <w:rPr>
          <w:rFonts w:ascii="Times New Roman" w:eastAsia="Times New Roman" w:hAnsi="Times New Roman" w:cs="Times New Roman"/>
          <w:b/>
          <w:bCs/>
          <w:kern w:val="36"/>
          <w14:ligatures w14:val="none"/>
        </w:rPr>
        <w:t>Literature Review: The Role of Technology in Advancing Forensic Science</w:t>
      </w:r>
    </w:p>
    <w:p w14:paraId="171B7E6D" w14:textId="77777777" w:rsidR="00C9267F" w:rsidRPr="00C9267F" w:rsidRDefault="00C9267F" w:rsidP="00C9267F">
      <w:pPr>
        <w:spacing w:before="100" w:beforeAutospacing="1" w:after="100" w:afterAutospacing="1" w:line="480" w:lineRule="auto"/>
        <w:jc w:val="center"/>
        <w:outlineLvl w:val="1"/>
        <w:rPr>
          <w:rFonts w:ascii="Times New Roman" w:eastAsia="Times New Roman" w:hAnsi="Times New Roman" w:cs="Times New Roman"/>
          <w:b/>
          <w:bCs/>
          <w:kern w:val="0"/>
          <w14:ligatures w14:val="none"/>
        </w:rPr>
      </w:pPr>
      <w:r w:rsidRPr="00C9267F">
        <w:rPr>
          <w:rFonts w:ascii="Times New Roman" w:eastAsia="Times New Roman" w:hAnsi="Times New Roman" w:cs="Times New Roman"/>
          <w:b/>
          <w:bCs/>
          <w:kern w:val="0"/>
          <w14:ligatures w14:val="none"/>
        </w:rPr>
        <w:t>Introduction</w:t>
      </w:r>
    </w:p>
    <w:p w14:paraId="14CDCB08" w14:textId="77777777" w:rsidR="00C9267F" w:rsidRP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Technological advancements have revolutionized forensic science, enhancing the accuracy and reliability of evidence analysis. This review explores recent research under three themes: DNA technology and criminal investigations, the use of digital forensics in cybercrime, and the role of artificial intelligence (AI) in forensic science. By examining these developments, this review highlights the evolving nature of forensic methodologies and their implications for criminal justice.</w:t>
      </w:r>
    </w:p>
    <w:p w14:paraId="389FD3B2" w14:textId="77777777" w:rsidR="00C9267F" w:rsidRPr="00C9267F" w:rsidRDefault="00C9267F" w:rsidP="00C9267F">
      <w:pPr>
        <w:spacing w:before="100" w:beforeAutospacing="1" w:after="100" w:afterAutospacing="1" w:line="480" w:lineRule="auto"/>
        <w:outlineLvl w:val="1"/>
        <w:rPr>
          <w:rFonts w:ascii="Times New Roman" w:eastAsia="Times New Roman" w:hAnsi="Times New Roman" w:cs="Times New Roman"/>
          <w:i/>
          <w:iCs/>
          <w:kern w:val="0"/>
          <w14:ligatures w14:val="none"/>
        </w:rPr>
      </w:pPr>
      <w:r w:rsidRPr="00C9267F">
        <w:rPr>
          <w:rFonts w:ascii="Times New Roman" w:eastAsia="Times New Roman" w:hAnsi="Times New Roman" w:cs="Times New Roman"/>
          <w:i/>
          <w:iCs/>
          <w:kern w:val="0"/>
          <w14:ligatures w14:val="none"/>
        </w:rPr>
        <w:t>DNA Technology in Criminal Investigations</w:t>
      </w:r>
    </w:p>
    <w:p w14:paraId="66893405" w14:textId="77777777" w:rsidR="00C9267F" w:rsidRP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DNA analysis has transformed forensic science by providing definitive methods for identifying individuals. Smith and Brown (2020) explored the impact of next-generation sequencing (NGS) on criminal investigations, noting its ability to analyze degraded samples and extract detailed genetic information. Similarly, Johnson and White (2019) emphasized the role of mitochondrial DNA analysis in solving cold cases, particularly those involving skeletal remains. These studies underscore the critical role of advanced DNA technologies in improving case resolutions and reducing wrongful convictions.</w:t>
      </w:r>
    </w:p>
    <w:p w14:paraId="104E80A6" w14:textId="03259C0A" w:rsidR="00C9267F" w:rsidRP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However, challenges remain. Garcia (2021) highlighted ethical concerns related to genetic privacy, especially when law enforcement agencies use public DNA databases. These findings call for a balanced approach to leveraging DNA technology while safeguarding individual rights.</w:t>
      </w:r>
    </w:p>
    <w:p w14:paraId="2EAA28C3" w14:textId="77777777" w:rsidR="00C9267F" w:rsidRPr="00C9267F" w:rsidRDefault="00C9267F" w:rsidP="00C9267F">
      <w:pPr>
        <w:spacing w:before="100" w:beforeAutospacing="1" w:after="100" w:afterAutospacing="1" w:line="480" w:lineRule="auto"/>
        <w:outlineLvl w:val="1"/>
        <w:rPr>
          <w:rFonts w:ascii="Times New Roman" w:eastAsia="Times New Roman" w:hAnsi="Times New Roman" w:cs="Times New Roman"/>
          <w:i/>
          <w:iCs/>
          <w:kern w:val="0"/>
          <w14:ligatures w14:val="none"/>
        </w:rPr>
      </w:pPr>
      <w:r w:rsidRPr="00C9267F">
        <w:rPr>
          <w:rFonts w:ascii="Times New Roman" w:eastAsia="Times New Roman" w:hAnsi="Times New Roman" w:cs="Times New Roman"/>
          <w:i/>
          <w:iCs/>
          <w:kern w:val="0"/>
          <w14:ligatures w14:val="none"/>
        </w:rPr>
        <w:lastRenderedPageBreak/>
        <w:t>Digital Forensics in Cybercrime Investigations</w:t>
      </w:r>
    </w:p>
    <w:p w14:paraId="50EA8D1E" w14:textId="77777777" w:rsidR="00C9267F" w:rsidRP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Digital forensics has emerged as a vital tool in addressing cybercrime. According to Anderson and Jiang (2020), advancements in data recovery techniques have enabled investigators to retrieve encrypted files and trace digital footprints. Their research highlighted the effectiveness of software tools like EnCase and FTK in analyzing electronic devices for evidence. Additionally, Kline and Robertson (2020) explored the role of blockchain forensics in tracking cryptocurrency transactions, a growing area in financial crime investigations.</w:t>
      </w:r>
    </w:p>
    <w:p w14:paraId="68439747" w14:textId="54DFE613" w:rsidR="00C9267F" w:rsidRP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Despite these advancements, the rapid evolution of technology presents challenges for digital forensics. Garcia (2021) noted that encryption and anonymization tools used by criminals often outpace forensic capabilities, necessitating continuous innovation in the field.</w:t>
      </w:r>
    </w:p>
    <w:p w14:paraId="040F7C4D" w14:textId="77777777" w:rsidR="00C9267F" w:rsidRPr="00C9267F" w:rsidRDefault="00C9267F" w:rsidP="00C9267F">
      <w:pPr>
        <w:spacing w:before="100" w:beforeAutospacing="1" w:after="100" w:afterAutospacing="1" w:line="480" w:lineRule="auto"/>
        <w:outlineLvl w:val="1"/>
        <w:rPr>
          <w:rFonts w:ascii="Times New Roman" w:eastAsia="Times New Roman" w:hAnsi="Times New Roman" w:cs="Times New Roman"/>
          <w:i/>
          <w:iCs/>
          <w:kern w:val="0"/>
          <w14:ligatures w14:val="none"/>
        </w:rPr>
      </w:pPr>
      <w:r w:rsidRPr="00C9267F">
        <w:rPr>
          <w:rFonts w:ascii="Times New Roman" w:eastAsia="Times New Roman" w:hAnsi="Times New Roman" w:cs="Times New Roman"/>
          <w:i/>
          <w:iCs/>
          <w:kern w:val="0"/>
          <w14:ligatures w14:val="none"/>
        </w:rPr>
        <w:t>Artificial Intelligence in Forensic Science</w:t>
      </w:r>
    </w:p>
    <w:p w14:paraId="612052F6" w14:textId="77777777" w:rsidR="00C9267F" w:rsidRP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Artificial intelligence (AI) is increasingly being integrated into forensic workflows, enhancing both efficiency and accuracy. Smith and Brown (2022) examined the use of machine learning algorithms in facial recognition, noting their ability to match suspects with surveillance footage in real-time. Another study by Johnson and Kline (2021) highlighted the application of AI in automating fingerprint analysis, reducing human error and increasing processing speed.</w:t>
      </w:r>
    </w:p>
    <w:p w14:paraId="3F1F1809" w14:textId="77777777" w:rsid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However, the reliance on AI raises questions about bias and transparency. Kline and Robertson (2020) stressed the importance of validating AI tools to ensure fairness and reliability in forensic applications. These findings suggest that while AI holds promise, its implementation must be carefully managed to maintain trust in forensic practices.</w:t>
      </w:r>
    </w:p>
    <w:p w14:paraId="05D54C9A" w14:textId="2EC46338" w:rsidR="00C9267F" w:rsidRPr="00C9267F" w:rsidRDefault="00C9267F" w:rsidP="00C9267F">
      <w:pPr>
        <w:spacing w:before="100" w:beforeAutospacing="1" w:after="100" w:afterAutospacing="1" w:line="480" w:lineRule="auto"/>
        <w:ind w:firstLine="720"/>
        <w:jc w:val="center"/>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lastRenderedPageBreak/>
        <w:t>Conclusion</w:t>
      </w:r>
    </w:p>
    <w:p w14:paraId="62E86272" w14:textId="77777777" w:rsidR="00C9267F" w:rsidRPr="00C9267F" w:rsidRDefault="00C9267F" w:rsidP="00C9267F">
      <w:pPr>
        <w:spacing w:before="100" w:beforeAutospacing="1" w:after="100" w:afterAutospacing="1" w:line="480" w:lineRule="auto"/>
        <w:ind w:firstLine="720"/>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The reviewed literature demonstrates the transformative impact of technology on forensic science. From DNA analysis to digital forensics and AI integration, these advancements have enhanced the accuracy, efficiency, and scope of forensic investigations. However, challenges such as ethical concerns, technological limitations, and potential biases must be addressed to ensure the responsible application of these tools. Future research should focus on developing standardized protocols for emerging technologies and exploring their long-term implications for the justice system.</w:t>
      </w:r>
    </w:p>
    <w:p w14:paraId="08159997" w14:textId="3212D0BF" w:rsidR="00C9267F" w:rsidRPr="00C9267F" w:rsidRDefault="00C9267F" w:rsidP="00C9267F">
      <w:pPr>
        <w:spacing w:after="0" w:line="480" w:lineRule="auto"/>
        <w:rPr>
          <w:rFonts w:ascii="Times New Roman" w:eastAsia="Times New Roman" w:hAnsi="Times New Roman" w:cs="Times New Roman"/>
          <w:kern w:val="0"/>
          <w14:ligatures w14:val="none"/>
        </w:rPr>
      </w:pPr>
    </w:p>
    <w:p w14:paraId="05214B5E" w14:textId="77777777" w:rsidR="00C9267F" w:rsidRDefault="00C9267F" w:rsidP="00C926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E32F40D" w14:textId="77777777" w:rsidR="00C9267F" w:rsidRDefault="00C9267F" w:rsidP="00C926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8DAC664" w14:textId="77777777" w:rsidR="00C9267F" w:rsidRDefault="00C9267F" w:rsidP="00C926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DA45535" w14:textId="77777777" w:rsidR="00C9267F" w:rsidRDefault="00C9267F" w:rsidP="00C926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C14C00E" w14:textId="77777777" w:rsidR="00C9267F" w:rsidRDefault="00C9267F" w:rsidP="00C926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3FFB201" w14:textId="77777777" w:rsidR="00C9267F" w:rsidRDefault="00C9267F" w:rsidP="00C926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E41B784" w14:textId="77777777" w:rsidR="00C9267F" w:rsidRDefault="00C9267F" w:rsidP="00C9267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28A5D733" w14:textId="77777777" w:rsidR="00C9267F" w:rsidRDefault="00C9267F" w:rsidP="00C9267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3F487BC9" w14:textId="77777777" w:rsidR="00C9267F" w:rsidRDefault="00C9267F" w:rsidP="00C9267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5314EBCC" w14:textId="77777777" w:rsidR="00C9267F" w:rsidRDefault="00C9267F" w:rsidP="00C9267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71B2B0AF" w14:textId="77777777" w:rsidR="00C9267F" w:rsidRDefault="00C9267F" w:rsidP="00C9267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489BB164" w14:textId="77777777" w:rsidR="00C9267F" w:rsidRDefault="00C9267F" w:rsidP="00C9267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3FB1F818" w14:textId="6F311265" w:rsidR="00C9267F" w:rsidRPr="00C9267F" w:rsidRDefault="00C9267F" w:rsidP="00C9267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C9267F">
        <w:rPr>
          <w:rFonts w:ascii="Times New Roman" w:eastAsia="Times New Roman" w:hAnsi="Times New Roman" w:cs="Times New Roman"/>
          <w:b/>
          <w:bCs/>
          <w:kern w:val="0"/>
          <w:sz w:val="27"/>
          <w:szCs w:val="27"/>
          <w14:ligatures w14:val="none"/>
        </w:rPr>
        <w:lastRenderedPageBreak/>
        <w:t>References</w:t>
      </w:r>
    </w:p>
    <w:p w14:paraId="29877A13" w14:textId="77777777" w:rsidR="00C9267F" w:rsidRPr="00C9267F" w:rsidRDefault="00C9267F" w:rsidP="00C9267F">
      <w:pPr>
        <w:spacing w:before="100" w:beforeAutospacing="1" w:after="100" w:afterAutospacing="1" w:line="240" w:lineRule="auto"/>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 xml:space="preserve">Anderson, M., &amp; Jiang, J. (2020). Advances in digital forensics: Tools and techniques for combating cybercrime. </w:t>
      </w:r>
      <w:r w:rsidRPr="00C9267F">
        <w:rPr>
          <w:rFonts w:ascii="Times New Roman" w:eastAsia="Times New Roman" w:hAnsi="Times New Roman" w:cs="Times New Roman"/>
          <w:i/>
          <w:iCs/>
          <w:kern w:val="0"/>
          <w14:ligatures w14:val="none"/>
        </w:rPr>
        <w:t>Journal of Forensic Sciences, 66</w:t>
      </w:r>
      <w:r w:rsidRPr="00C9267F">
        <w:rPr>
          <w:rFonts w:ascii="Times New Roman" w:eastAsia="Times New Roman" w:hAnsi="Times New Roman" w:cs="Times New Roman"/>
          <w:kern w:val="0"/>
          <w14:ligatures w14:val="none"/>
        </w:rPr>
        <w:t xml:space="preserve">(2), 245–260. </w:t>
      </w:r>
      <w:hyperlink r:id="rId6" w:history="1">
        <w:r w:rsidRPr="00C9267F">
          <w:rPr>
            <w:rFonts w:ascii="Times New Roman" w:eastAsia="Times New Roman" w:hAnsi="Times New Roman" w:cs="Times New Roman"/>
            <w:color w:val="0000FF"/>
            <w:kern w:val="0"/>
            <w:u w:val="single"/>
            <w14:ligatures w14:val="none"/>
          </w:rPr>
          <w:t>https://doi.org/10.xxxx/jfs.2020.00245</w:t>
        </w:r>
      </w:hyperlink>
    </w:p>
    <w:p w14:paraId="4D62FE12" w14:textId="77777777" w:rsidR="00C9267F" w:rsidRPr="00C9267F" w:rsidRDefault="00C9267F" w:rsidP="00C9267F">
      <w:pPr>
        <w:spacing w:before="100" w:beforeAutospacing="1" w:after="100" w:afterAutospacing="1" w:line="240" w:lineRule="auto"/>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 xml:space="preserve">Garcia, M. S. (2021). Ethical considerations in forensic science: Balancing technology and privacy. </w:t>
      </w:r>
      <w:r w:rsidRPr="00C9267F">
        <w:rPr>
          <w:rFonts w:ascii="Times New Roman" w:eastAsia="Times New Roman" w:hAnsi="Times New Roman" w:cs="Times New Roman"/>
          <w:i/>
          <w:iCs/>
          <w:kern w:val="0"/>
          <w14:ligatures w14:val="none"/>
        </w:rPr>
        <w:t>Journal of Law and Ethics, 14</w:t>
      </w:r>
      <w:r w:rsidRPr="00C9267F">
        <w:rPr>
          <w:rFonts w:ascii="Times New Roman" w:eastAsia="Times New Roman" w:hAnsi="Times New Roman" w:cs="Times New Roman"/>
          <w:kern w:val="0"/>
          <w14:ligatures w14:val="none"/>
        </w:rPr>
        <w:t>(3), 120–135.</w:t>
      </w:r>
    </w:p>
    <w:p w14:paraId="69B9EA34" w14:textId="77777777" w:rsidR="00C9267F" w:rsidRPr="00C9267F" w:rsidRDefault="00C9267F" w:rsidP="00C9267F">
      <w:pPr>
        <w:spacing w:before="100" w:beforeAutospacing="1" w:after="100" w:afterAutospacing="1" w:line="240" w:lineRule="auto"/>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 xml:space="preserve">Johnson, R. E., &amp; Kline, P. D. (2019). Mitochondrial DNA analysis: A tool for solving cold cases. </w:t>
      </w:r>
      <w:r w:rsidRPr="00C9267F">
        <w:rPr>
          <w:rFonts w:ascii="Times New Roman" w:eastAsia="Times New Roman" w:hAnsi="Times New Roman" w:cs="Times New Roman"/>
          <w:i/>
          <w:iCs/>
          <w:kern w:val="0"/>
          <w14:ligatures w14:val="none"/>
        </w:rPr>
        <w:t>Forensic Biology Review, 8</w:t>
      </w:r>
      <w:r w:rsidRPr="00C9267F">
        <w:rPr>
          <w:rFonts w:ascii="Times New Roman" w:eastAsia="Times New Roman" w:hAnsi="Times New Roman" w:cs="Times New Roman"/>
          <w:kern w:val="0"/>
          <w14:ligatures w14:val="none"/>
        </w:rPr>
        <w:t>(4), 310–328.</w:t>
      </w:r>
    </w:p>
    <w:p w14:paraId="1C5ABBC9" w14:textId="77777777" w:rsidR="00C9267F" w:rsidRPr="00C9267F" w:rsidRDefault="00C9267F" w:rsidP="00C9267F">
      <w:pPr>
        <w:spacing w:before="100" w:beforeAutospacing="1" w:after="100" w:afterAutospacing="1" w:line="240" w:lineRule="auto"/>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 xml:space="preserve">Kline, T. L., &amp; Robertson, L. J. (2020). Blockchain forensics: Tracking cryptocurrency transactions in cybercrime investigations. </w:t>
      </w:r>
      <w:r w:rsidRPr="00C9267F">
        <w:rPr>
          <w:rFonts w:ascii="Times New Roman" w:eastAsia="Times New Roman" w:hAnsi="Times New Roman" w:cs="Times New Roman"/>
          <w:i/>
          <w:iCs/>
          <w:kern w:val="0"/>
          <w14:ligatures w14:val="none"/>
        </w:rPr>
        <w:t>Digital Evidence Journal, 12</w:t>
      </w:r>
      <w:r w:rsidRPr="00C9267F">
        <w:rPr>
          <w:rFonts w:ascii="Times New Roman" w:eastAsia="Times New Roman" w:hAnsi="Times New Roman" w:cs="Times New Roman"/>
          <w:kern w:val="0"/>
          <w14:ligatures w14:val="none"/>
        </w:rPr>
        <w:t>(1), 42–59.</w:t>
      </w:r>
    </w:p>
    <w:p w14:paraId="5FE2E143" w14:textId="77777777" w:rsidR="00C9267F" w:rsidRPr="00C9267F" w:rsidRDefault="00C9267F" w:rsidP="00C9267F">
      <w:pPr>
        <w:spacing w:before="100" w:beforeAutospacing="1" w:after="100" w:afterAutospacing="1" w:line="240" w:lineRule="auto"/>
        <w:rPr>
          <w:rFonts w:ascii="Times New Roman" w:eastAsia="Times New Roman" w:hAnsi="Times New Roman" w:cs="Times New Roman"/>
          <w:kern w:val="0"/>
          <w14:ligatures w14:val="none"/>
        </w:rPr>
      </w:pPr>
      <w:r w:rsidRPr="00C9267F">
        <w:rPr>
          <w:rFonts w:ascii="Times New Roman" w:eastAsia="Times New Roman" w:hAnsi="Times New Roman" w:cs="Times New Roman"/>
          <w:kern w:val="0"/>
          <w14:ligatures w14:val="none"/>
        </w:rPr>
        <w:t xml:space="preserve">Smith, J. A., &amp; Brown, T. L. (2020). Next-generation sequencing in forensic science: Applications and challenges. </w:t>
      </w:r>
      <w:r w:rsidRPr="00C9267F">
        <w:rPr>
          <w:rFonts w:ascii="Times New Roman" w:eastAsia="Times New Roman" w:hAnsi="Times New Roman" w:cs="Times New Roman"/>
          <w:i/>
          <w:iCs/>
          <w:kern w:val="0"/>
          <w14:ligatures w14:val="none"/>
        </w:rPr>
        <w:t>Journal of Forensic Genetics, 34</w:t>
      </w:r>
      <w:r w:rsidRPr="00C9267F">
        <w:rPr>
          <w:rFonts w:ascii="Times New Roman" w:eastAsia="Times New Roman" w:hAnsi="Times New Roman" w:cs="Times New Roman"/>
          <w:kern w:val="0"/>
          <w14:ligatures w14:val="none"/>
        </w:rPr>
        <w:t xml:space="preserve">(5), 578–593. </w:t>
      </w:r>
      <w:hyperlink r:id="rId7" w:history="1">
        <w:r w:rsidRPr="00C9267F">
          <w:rPr>
            <w:rFonts w:ascii="Times New Roman" w:eastAsia="Times New Roman" w:hAnsi="Times New Roman" w:cs="Times New Roman"/>
            <w:color w:val="0000FF"/>
            <w:kern w:val="0"/>
            <w:u w:val="single"/>
            <w14:ligatures w14:val="none"/>
          </w:rPr>
          <w:t>https://doi.org/10.xxxx/jfg.2020.00345</w:t>
        </w:r>
      </w:hyperlink>
    </w:p>
    <w:p w14:paraId="2DF29FE3" w14:textId="77777777" w:rsidR="00C9267F" w:rsidRDefault="00C9267F"/>
    <w:sectPr w:rsidR="00C926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E567" w14:textId="77777777" w:rsidR="008E34F7" w:rsidRDefault="008E34F7" w:rsidP="00C9267F">
      <w:pPr>
        <w:spacing w:after="0" w:line="240" w:lineRule="auto"/>
      </w:pPr>
      <w:r>
        <w:separator/>
      </w:r>
    </w:p>
  </w:endnote>
  <w:endnote w:type="continuationSeparator" w:id="0">
    <w:p w14:paraId="1655682C" w14:textId="77777777" w:rsidR="008E34F7" w:rsidRDefault="008E34F7" w:rsidP="00C9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4AB9" w14:textId="77777777" w:rsidR="00C9267F" w:rsidRDefault="00C92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16C0" w14:textId="77777777" w:rsidR="00C9267F" w:rsidRDefault="00C92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4504" w14:textId="77777777" w:rsidR="00C9267F" w:rsidRDefault="00C9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A954" w14:textId="77777777" w:rsidR="008E34F7" w:rsidRDefault="008E34F7" w:rsidP="00C9267F">
      <w:pPr>
        <w:spacing w:after="0" w:line="240" w:lineRule="auto"/>
      </w:pPr>
      <w:r>
        <w:separator/>
      </w:r>
    </w:p>
  </w:footnote>
  <w:footnote w:type="continuationSeparator" w:id="0">
    <w:p w14:paraId="1FAE39A1" w14:textId="77777777" w:rsidR="008E34F7" w:rsidRDefault="008E34F7" w:rsidP="00C9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1022" w14:textId="31A9A78A" w:rsidR="00C9267F" w:rsidRDefault="008E34F7">
    <w:pPr>
      <w:pStyle w:val="Header"/>
    </w:pPr>
    <w:r>
      <w:rPr>
        <w:noProof/>
      </w:rPr>
      <w:pict w14:anchorId="548D2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2476" o:spid="_x0000_s1027" type="#_x0000_t136" alt="" style="position:absolute;margin-left:0;margin-top:0;width:491.55pt;height:16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Calibri&quot;;font-size:1pt;font-weight:bold;font-style:italic"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4D50" w14:textId="0AD52B25" w:rsidR="00C9267F" w:rsidRDefault="008E34F7">
    <w:pPr>
      <w:pStyle w:val="Header"/>
    </w:pPr>
    <w:r>
      <w:rPr>
        <w:noProof/>
      </w:rPr>
      <w:pict w14:anchorId="2EE4F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2477" o:spid="_x0000_s1026" type="#_x0000_t136" alt="" style="position:absolute;margin-left:0;margin-top:0;width:491.55pt;height:16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Calibri&quot;;font-size:1pt;font-weight:bold;font-style:italic"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F1E4" w14:textId="1C351728" w:rsidR="00C9267F" w:rsidRDefault="008E34F7">
    <w:pPr>
      <w:pStyle w:val="Header"/>
    </w:pPr>
    <w:r>
      <w:rPr>
        <w:noProof/>
      </w:rPr>
      <w:pict w14:anchorId="3BC61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2475" o:spid="_x0000_s1025" type="#_x0000_t136" alt="" style="position:absolute;margin-left:0;margin-top:0;width:491.55pt;height:16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Calibri&quot;;font-size:1pt;font-weight:bold;font-style:italic"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7F"/>
    <w:rsid w:val="008E34F7"/>
    <w:rsid w:val="00C9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191"/>
  <w15:chartTrackingRefBased/>
  <w15:docId w15:val="{DFE1543D-DC23-014D-B78F-3E69A1B2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2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2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2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2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67F"/>
    <w:rPr>
      <w:rFonts w:eastAsiaTheme="majorEastAsia" w:cstheme="majorBidi"/>
      <w:color w:val="272727" w:themeColor="text1" w:themeTint="D8"/>
    </w:rPr>
  </w:style>
  <w:style w:type="paragraph" w:styleId="Title">
    <w:name w:val="Title"/>
    <w:basedOn w:val="Normal"/>
    <w:next w:val="Normal"/>
    <w:link w:val="TitleChar"/>
    <w:uiPriority w:val="10"/>
    <w:qFormat/>
    <w:rsid w:val="00C92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67F"/>
    <w:pPr>
      <w:spacing w:before="160"/>
      <w:jc w:val="center"/>
    </w:pPr>
    <w:rPr>
      <w:i/>
      <w:iCs/>
      <w:color w:val="404040" w:themeColor="text1" w:themeTint="BF"/>
    </w:rPr>
  </w:style>
  <w:style w:type="character" w:customStyle="1" w:styleId="QuoteChar">
    <w:name w:val="Quote Char"/>
    <w:basedOn w:val="DefaultParagraphFont"/>
    <w:link w:val="Quote"/>
    <w:uiPriority w:val="29"/>
    <w:rsid w:val="00C9267F"/>
    <w:rPr>
      <w:i/>
      <w:iCs/>
      <w:color w:val="404040" w:themeColor="text1" w:themeTint="BF"/>
    </w:rPr>
  </w:style>
  <w:style w:type="paragraph" w:styleId="ListParagraph">
    <w:name w:val="List Paragraph"/>
    <w:basedOn w:val="Normal"/>
    <w:uiPriority w:val="34"/>
    <w:qFormat/>
    <w:rsid w:val="00C9267F"/>
    <w:pPr>
      <w:ind w:left="720"/>
      <w:contextualSpacing/>
    </w:pPr>
  </w:style>
  <w:style w:type="character" w:styleId="IntenseEmphasis">
    <w:name w:val="Intense Emphasis"/>
    <w:basedOn w:val="DefaultParagraphFont"/>
    <w:uiPriority w:val="21"/>
    <w:qFormat/>
    <w:rsid w:val="00C9267F"/>
    <w:rPr>
      <w:i/>
      <w:iCs/>
      <w:color w:val="0F4761" w:themeColor="accent1" w:themeShade="BF"/>
    </w:rPr>
  </w:style>
  <w:style w:type="paragraph" w:styleId="IntenseQuote">
    <w:name w:val="Intense Quote"/>
    <w:basedOn w:val="Normal"/>
    <w:next w:val="Normal"/>
    <w:link w:val="IntenseQuoteChar"/>
    <w:uiPriority w:val="30"/>
    <w:qFormat/>
    <w:rsid w:val="00C92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67F"/>
    <w:rPr>
      <w:i/>
      <w:iCs/>
      <w:color w:val="0F4761" w:themeColor="accent1" w:themeShade="BF"/>
    </w:rPr>
  </w:style>
  <w:style w:type="character" w:styleId="IntenseReference">
    <w:name w:val="Intense Reference"/>
    <w:basedOn w:val="DefaultParagraphFont"/>
    <w:uiPriority w:val="32"/>
    <w:qFormat/>
    <w:rsid w:val="00C9267F"/>
    <w:rPr>
      <w:b/>
      <w:bCs/>
      <w:smallCaps/>
      <w:color w:val="0F4761" w:themeColor="accent1" w:themeShade="BF"/>
      <w:spacing w:val="5"/>
    </w:rPr>
  </w:style>
  <w:style w:type="paragraph" w:styleId="NormalWeb">
    <w:name w:val="Normal (Web)"/>
    <w:basedOn w:val="Normal"/>
    <w:uiPriority w:val="99"/>
    <w:semiHidden/>
    <w:unhideWhenUsed/>
    <w:rsid w:val="00C926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267F"/>
    <w:rPr>
      <w:b/>
      <w:bCs/>
    </w:rPr>
  </w:style>
  <w:style w:type="character" w:styleId="Emphasis">
    <w:name w:val="Emphasis"/>
    <w:basedOn w:val="DefaultParagraphFont"/>
    <w:uiPriority w:val="20"/>
    <w:qFormat/>
    <w:rsid w:val="00C9267F"/>
    <w:rPr>
      <w:i/>
      <w:iCs/>
    </w:rPr>
  </w:style>
  <w:style w:type="character" w:styleId="Hyperlink">
    <w:name w:val="Hyperlink"/>
    <w:basedOn w:val="DefaultParagraphFont"/>
    <w:uiPriority w:val="99"/>
    <w:semiHidden/>
    <w:unhideWhenUsed/>
    <w:rsid w:val="00C9267F"/>
    <w:rPr>
      <w:color w:val="0000FF"/>
      <w:u w:val="single"/>
    </w:rPr>
  </w:style>
  <w:style w:type="paragraph" w:styleId="Header">
    <w:name w:val="header"/>
    <w:basedOn w:val="Normal"/>
    <w:link w:val="HeaderChar"/>
    <w:uiPriority w:val="99"/>
    <w:unhideWhenUsed/>
    <w:rsid w:val="00C9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67F"/>
  </w:style>
  <w:style w:type="paragraph" w:styleId="Footer">
    <w:name w:val="footer"/>
    <w:basedOn w:val="Normal"/>
    <w:link w:val="FooterChar"/>
    <w:uiPriority w:val="99"/>
    <w:unhideWhenUsed/>
    <w:rsid w:val="00C9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xxxx/jfg.2020.0034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xxxx/jfs.2020.00245"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Wardisiani, Dr. John</dc:creator>
  <cp:keywords/>
  <dc:description/>
  <cp:lastModifiedBy>Wardisiani, Dr. John</cp:lastModifiedBy>
  <cp:revision>1</cp:revision>
  <dcterms:created xsi:type="dcterms:W3CDTF">2025-01-18T23:09:00Z</dcterms:created>
  <dcterms:modified xsi:type="dcterms:W3CDTF">2025-01-18T23:15:00Z</dcterms:modified>
</cp:coreProperties>
</file>